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0BD0D" w14:textId="77777777" w:rsidR="00EC1840" w:rsidRDefault="002F504D">
      <w:pPr>
        <w:spacing w:line="315" w:lineRule="auto"/>
        <w:ind w:left="420" w:right="2600"/>
        <w:rPr>
          <w:sz w:val="20"/>
          <w:szCs w:val="20"/>
        </w:rPr>
      </w:pPr>
      <w:bookmarkStart w:id="0" w:name="page1"/>
      <w:bookmarkEnd w:id="0"/>
      <w:r>
        <w:rPr>
          <w:rFonts w:ascii="Arial" w:eastAsia="Arial" w:hAnsi="Arial" w:cs="Arial"/>
          <w:b/>
          <w:bCs/>
          <w:color w:val="1F4A7A"/>
          <w:sz w:val="70"/>
          <w:szCs w:val="70"/>
        </w:rPr>
        <w:t>INFORMACIÓN SOBRE LA VACUNA COVID-19</w:t>
      </w:r>
    </w:p>
    <w:p w14:paraId="3D715651" w14:textId="77777777" w:rsidR="00EC1840" w:rsidRDefault="002F504D">
      <w:pPr>
        <w:spacing w:line="20" w:lineRule="exact"/>
        <w:rPr>
          <w:sz w:val="24"/>
          <w:szCs w:val="24"/>
        </w:rPr>
      </w:pPr>
      <w:r>
        <w:rPr>
          <w:noProof/>
          <w:sz w:val="24"/>
          <w:szCs w:val="24"/>
        </w:rPr>
        <w:drawing>
          <wp:anchor distT="0" distB="0" distL="114300" distR="114300" simplePos="0" relativeHeight="251657216" behindDoc="1" locked="0" layoutInCell="0" allowOverlap="1" wp14:anchorId="1E8746F4" wp14:editId="46B9B7D0">
            <wp:simplePos x="0" y="0"/>
            <wp:positionH relativeFrom="column">
              <wp:posOffset>5366385</wp:posOffset>
            </wp:positionH>
            <wp:positionV relativeFrom="paragraph">
              <wp:posOffset>-1197610</wp:posOffset>
            </wp:positionV>
            <wp:extent cx="1238250" cy="1171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38250" cy="1171575"/>
                    </a:xfrm>
                    <a:prstGeom prst="rect">
                      <a:avLst/>
                    </a:prstGeom>
                    <a:noFill/>
                  </pic:spPr>
                </pic:pic>
              </a:graphicData>
            </a:graphic>
          </wp:anchor>
        </w:drawing>
      </w:r>
    </w:p>
    <w:p w14:paraId="40093CEA" w14:textId="77777777" w:rsidR="00EC1840" w:rsidRDefault="00EC1840">
      <w:pPr>
        <w:spacing w:line="215" w:lineRule="exact"/>
        <w:rPr>
          <w:sz w:val="24"/>
          <w:szCs w:val="24"/>
        </w:rPr>
      </w:pPr>
    </w:p>
    <w:p w14:paraId="3D72AE88" w14:textId="77777777" w:rsidR="00EC1840" w:rsidRDefault="002F504D">
      <w:pPr>
        <w:ind w:left="420"/>
        <w:rPr>
          <w:sz w:val="20"/>
          <w:szCs w:val="20"/>
        </w:rPr>
      </w:pPr>
      <w:r>
        <w:rPr>
          <w:rFonts w:ascii="Arial" w:eastAsia="Arial" w:hAnsi="Arial" w:cs="Arial"/>
          <w:b/>
          <w:bCs/>
          <w:color w:val="1F4A7A"/>
          <w:sz w:val="70"/>
          <w:szCs w:val="70"/>
        </w:rPr>
        <w:t>CAJA FUERTE. PROBADO. EFICAZ.</w:t>
      </w:r>
    </w:p>
    <w:p w14:paraId="739E62DB" w14:textId="77777777" w:rsidR="00EC1840" w:rsidRDefault="00EC1840">
      <w:pPr>
        <w:spacing w:line="391" w:lineRule="exact"/>
        <w:rPr>
          <w:sz w:val="24"/>
          <w:szCs w:val="24"/>
        </w:rPr>
      </w:pPr>
    </w:p>
    <w:p w14:paraId="1E436864" w14:textId="77777777" w:rsidR="00EC1840" w:rsidRDefault="002F504D">
      <w:pPr>
        <w:ind w:left="420"/>
        <w:rPr>
          <w:sz w:val="20"/>
          <w:szCs w:val="20"/>
        </w:rPr>
      </w:pPr>
      <w:r>
        <w:rPr>
          <w:rFonts w:ascii="Arial" w:eastAsia="Arial" w:hAnsi="Arial" w:cs="Arial"/>
        </w:rPr>
        <w:t>*Esta información se basa en la evidencia actual sobre la vacuna COVID-19 en enero de 2021.</w:t>
      </w:r>
    </w:p>
    <w:p w14:paraId="1B088F7C" w14:textId="77777777" w:rsidR="00EC1840" w:rsidRDefault="00EC1840">
      <w:pPr>
        <w:spacing w:line="17" w:lineRule="exact"/>
        <w:rPr>
          <w:sz w:val="24"/>
          <w:szCs w:val="24"/>
        </w:rPr>
      </w:pPr>
    </w:p>
    <w:p w14:paraId="327542A4" w14:textId="77777777" w:rsidR="00EC1840" w:rsidRDefault="002F504D">
      <w:pPr>
        <w:ind w:left="420"/>
        <w:rPr>
          <w:sz w:val="20"/>
          <w:szCs w:val="20"/>
        </w:rPr>
      </w:pPr>
      <w:r>
        <w:rPr>
          <w:rFonts w:ascii="Arial" w:eastAsia="Arial" w:hAnsi="Arial" w:cs="Arial"/>
        </w:rPr>
        <w:t>A medida que se disponga de más información, se modificará este documento.</w:t>
      </w:r>
    </w:p>
    <w:p w14:paraId="578A6911" w14:textId="77777777" w:rsidR="00EC1840" w:rsidRDefault="00EC1840">
      <w:pPr>
        <w:spacing w:line="393" w:lineRule="exact"/>
        <w:rPr>
          <w:sz w:val="24"/>
          <w:szCs w:val="24"/>
        </w:rPr>
      </w:pPr>
    </w:p>
    <w:p w14:paraId="73ED82B2" w14:textId="77777777" w:rsidR="00EC1840" w:rsidRDefault="002F504D">
      <w:pPr>
        <w:ind w:left="1540"/>
        <w:rPr>
          <w:sz w:val="20"/>
          <w:szCs w:val="20"/>
        </w:rPr>
      </w:pPr>
      <w:r>
        <w:rPr>
          <w:rFonts w:ascii="Arial" w:eastAsia="Arial" w:hAnsi="Arial" w:cs="Arial"/>
          <w:b/>
          <w:bCs/>
          <w:color w:val="1F4A7A"/>
          <w:sz w:val="37"/>
          <w:szCs w:val="37"/>
        </w:rPr>
        <w:t>¿Quién se vacunará primero?</w:t>
      </w:r>
    </w:p>
    <w:p w14:paraId="79BBD87A" w14:textId="77777777" w:rsidR="00EC1840" w:rsidRDefault="00EC1840">
      <w:pPr>
        <w:spacing w:line="201" w:lineRule="exact"/>
        <w:rPr>
          <w:sz w:val="24"/>
          <w:szCs w:val="24"/>
        </w:rPr>
      </w:pPr>
    </w:p>
    <w:p w14:paraId="366CBD3A" w14:textId="31BEFA73" w:rsidR="00EC1840" w:rsidRDefault="002F504D">
      <w:pPr>
        <w:numPr>
          <w:ilvl w:val="0"/>
          <w:numId w:val="1"/>
        </w:numPr>
        <w:tabs>
          <w:tab w:val="left" w:pos="1540"/>
        </w:tabs>
        <w:spacing w:line="208" w:lineRule="auto"/>
        <w:ind w:left="1540" w:right="980" w:hanging="881"/>
        <w:jc w:val="both"/>
        <w:rPr>
          <w:rFonts w:ascii="Arial" w:eastAsia="Arial" w:hAnsi="Arial" w:cs="Arial"/>
          <w:color w:val="1F4A7A"/>
          <w:sz w:val="45"/>
          <w:szCs w:val="45"/>
        </w:rPr>
      </w:pPr>
      <w:r>
        <w:rPr>
          <w:rFonts w:ascii="Arial" w:eastAsia="Arial" w:hAnsi="Arial" w:cs="Arial"/>
          <w:sz w:val="25"/>
          <w:szCs w:val="25"/>
        </w:rPr>
        <w:t>A partir de enero de 2021, Georgia se encuentra en la Fase 1A de la vacunación. Esto incluye a los trabajadores de la salud, las personas que viven en instalaciones y personal de atención a largo plazo, las personas mayores de 65 años y los cuidadores y las fuerzas del orden (incluidos la policía, los bomberos, el EMS y los despachadores del 911).</w:t>
      </w:r>
    </w:p>
    <w:p w14:paraId="04A42C1F" w14:textId="77777777" w:rsidR="00EC1840" w:rsidRDefault="00EC1840">
      <w:pPr>
        <w:spacing w:line="233" w:lineRule="exact"/>
        <w:rPr>
          <w:sz w:val="24"/>
          <w:szCs w:val="24"/>
        </w:rPr>
      </w:pPr>
    </w:p>
    <w:tbl>
      <w:tblPr>
        <w:tblW w:w="0" w:type="auto"/>
        <w:tblInd w:w="560" w:type="dxa"/>
        <w:tblLayout w:type="fixed"/>
        <w:tblCellMar>
          <w:left w:w="0" w:type="dxa"/>
          <w:right w:w="0" w:type="dxa"/>
        </w:tblCellMar>
        <w:tblLook w:val="04A0" w:firstRow="1" w:lastRow="0" w:firstColumn="1" w:lastColumn="0" w:noHBand="0" w:noVBand="1"/>
      </w:tblPr>
      <w:tblGrid>
        <w:gridCol w:w="540"/>
        <w:gridCol w:w="7180"/>
      </w:tblGrid>
      <w:tr w:rsidR="00EC1840" w14:paraId="13FAB211" w14:textId="77777777">
        <w:trPr>
          <w:trHeight w:val="517"/>
        </w:trPr>
        <w:tc>
          <w:tcPr>
            <w:tcW w:w="540" w:type="dxa"/>
            <w:vAlign w:val="bottom"/>
          </w:tcPr>
          <w:p w14:paraId="293D50C5" w14:textId="77777777" w:rsidR="00EC1840" w:rsidRDefault="00EC1840">
            <w:pPr>
              <w:rPr>
                <w:sz w:val="24"/>
                <w:szCs w:val="24"/>
              </w:rPr>
            </w:pPr>
          </w:p>
        </w:tc>
        <w:tc>
          <w:tcPr>
            <w:tcW w:w="7180" w:type="dxa"/>
            <w:vAlign w:val="bottom"/>
          </w:tcPr>
          <w:p w14:paraId="30504F30" w14:textId="77777777" w:rsidR="00EC1840" w:rsidRDefault="002F504D">
            <w:pPr>
              <w:ind w:left="380"/>
              <w:rPr>
                <w:sz w:val="20"/>
                <w:szCs w:val="20"/>
              </w:rPr>
            </w:pPr>
            <w:r>
              <w:rPr>
                <w:rFonts w:ascii="Arial" w:eastAsia="Arial" w:hAnsi="Arial" w:cs="Arial"/>
                <w:b/>
                <w:bCs/>
                <w:color w:val="1F4A7A"/>
                <w:sz w:val="39"/>
                <w:szCs w:val="39"/>
              </w:rPr>
              <w:t>EN QUÉ FASE/GRUPO ME ENCUENTRO</w:t>
            </w:r>
          </w:p>
        </w:tc>
      </w:tr>
      <w:tr w:rsidR="00EC1840" w14:paraId="2DA859F0" w14:textId="77777777">
        <w:trPr>
          <w:trHeight w:val="564"/>
        </w:trPr>
        <w:tc>
          <w:tcPr>
            <w:tcW w:w="540" w:type="dxa"/>
            <w:vAlign w:val="bottom"/>
          </w:tcPr>
          <w:p w14:paraId="138DF08C" w14:textId="77777777" w:rsidR="00EC1840" w:rsidRDefault="002F504D">
            <w:pPr>
              <w:ind w:right="206"/>
              <w:jc w:val="right"/>
              <w:rPr>
                <w:sz w:val="20"/>
                <w:szCs w:val="20"/>
              </w:rPr>
            </w:pPr>
            <w:r>
              <w:rPr>
                <w:rFonts w:ascii="Arial" w:eastAsia="Arial" w:hAnsi="Arial" w:cs="Arial"/>
                <w:color w:val="1F4A7A"/>
                <w:w w:val="71"/>
                <w:sz w:val="35"/>
                <w:szCs w:val="35"/>
              </w:rPr>
              <w:t>2</w:t>
            </w:r>
          </w:p>
        </w:tc>
        <w:tc>
          <w:tcPr>
            <w:tcW w:w="7180" w:type="dxa"/>
            <w:vAlign w:val="bottom"/>
          </w:tcPr>
          <w:p w14:paraId="4751F171" w14:textId="77777777" w:rsidR="00EC1840" w:rsidRDefault="002F504D">
            <w:pPr>
              <w:ind w:left="380"/>
              <w:rPr>
                <w:sz w:val="20"/>
                <w:szCs w:val="20"/>
              </w:rPr>
            </w:pPr>
            <w:r>
              <w:rPr>
                <w:rFonts w:ascii="Arial" w:eastAsia="Arial" w:hAnsi="Arial" w:cs="Arial"/>
                <w:b/>
                <w:bCs/>
                <w:color w:val="1F4A7A"/>
                <w:sz w:val="39"/>
                <w:szCs w:val="39"/>
              </w:rPr>
              <w:t>¿RECIBIR LA VACUNA?</w:t>
            </w:r>
          </w:p>
        </w:tc>
      </w:tr>
    </w:tbl>
    <w:p w14:paraId="2E8F1685" w14:textId="77777777" w:rsidR="00EC1840" w:rsidRDefault="002F504D">
      <w:pPr>
        <w:spacing w:line="251" w:lineRule="auto"/>
        <w:ind w:left="1540" w:right="1000"/>
        <w:jc w:val="both"/>
        <w:rPr>
          <w:sz w:val="20"/>
          <w:szCs w:val="20"/>
        </w:rPr>
      </w:pPr>
      <w:r>
        <w:rPr>
          <w:rFonts w:ascii="Arial" w:eastAsia="Arial" w:hAnsi="Arial" w:cs="Arial"/>
          <w:sz w:val="25"/>
          <w:szCs w:val="25"/>
        </w:rPr>
        <w:t>Georgia sigue las directrices del Comité Asesor sobre Prácticas de Inmunización (ACIP) sobre quién se incluye en cada fase de la distribución de vacunas. Después de la Fase I, la Fase IB incluirá trabajadores esenciales no sanitarios. La fase 1C incluye a todos los demás entre las edades de 16 a 64 años con afecciones médicas graves que aumentan su riesgo de Covid-19 grave. Puede consultar el sitio web del Departamento de Salud Pública de Georgia</w:t>
      </w:r>
      <w:r>
        <w:rPr>
          <w:rFonts w:ascii="Arial" w:eastAsia="Arial" w:hAnsi="Arial" w:cs="Arial"/>
          <w:b/>
          <w:bCs/>
          <w:sz w:val="25"/>
          <w:szCs w:val="25"/>
        </w:rPr>
        <w:t xml:space="preserve"> en https:/www.dph.ga.gov/covid-vaccine para obtener información actualizada sobre la fase de vacunación en la que se encuentra actualmente Georgia.</w:t>
      </w:r>
    </w:p>
    <w:p w14:paraId="425FA6FC" w14:textId="77777777" w:rsidR="00EC1840" w:rsidRDefault="00EC1840">
      <w:pPr>
        <w:spacing w:line="309" w:lineRule="exact"/>
        <w:rPr>
          <w:sz w:val="24"/>
          <w:szCs w:val="24"/>
        </w:rPr>
      </w:pPr>
    </w:p>
    <w:p w14:paraId="6A95F400" w14:textId="77777777" w:rsidR="00EC1840" w:rsidRDefault="002F504D">
      <w:pPr>
        <w:ind w:left="1500"/>
        <w:rPr>
          <w:sz w:val="20"/>
          <w:szCs w:val="20"/>
        </w:rPr>
      </w:pPr>
      <w:r>
        <w:rPr>
          <w:rFonts w:ascii="Arial" w:eastAsia="Arial" w:hAnsi="Arial" w:cs="Arial"/>
          <w:b/>
          <w:bCs/>
          <w:color w:val="1F4A7A"/>
          <w:sz w:val="39"/>
          <w:szCs w:val="39"/>
        </w:rPr>
        <w:t>¿Dónde puedo conseguir la vacuna?</w:t>
      </w:r>
    </w:p>
    <w:p w14:paraId="15BE97C4" w14:textId="77777777" w:rsidR="00EC1840" w:rsidRDefault="00EC1840">
      <w:pPr>
        <w:spacing w:line="359" w:lineRule="exact"/>
        <w:rPr>
          <w:sz w:val="24"/>
          <w:szCs w:val="24"/>
        </w:rPr>
      </w:pPr>
    </w:p>
    <w:p w14:paraId="4BD10608" w14:textId="77777777" w:rsidR="00EC1840" w:rsidRDefault="002F504D">
      <w:pPr>
        <w:numPr>
          <w:ilvl w:val="0"/>
          <w:numId w:val="2"/>
        </w:numPr>
        <w:tabs>
          <w:tab w:val="left" w:pos="1500"/>
        </w:tabs>
        <w:spacing w:line="227" w:lineRule="auto"/>
        <w:ind w:left="1500" w:right="1020" w:hanging="911"/>
        <w:jc w:val="both"/>
        <w:rPr>
          <w:rFonts w:ascii="Arial" w:eastAsia="Arial" w:hAnsi="Arial" w:cs="Arial"/>
          <w:color w:val="1F4A7A"/>
          <w:sz w:val="45"/>
          <w:szCs w:val="45"/>
        </w:rPr>
      </w:pPr>
      <w:r>
        <w:rPr>
          <w:rFonts w:ascii="Arial" w:eastAsia="Arial" w:hAnsi="Arial" w:cs="Arial"/>
          <w:sz w:val="25"/>
          <w:szCs w:val="25"/>
        </w:rPr>
        <w:t>Un lugar donde se puede obtener la vacuna es a través del Distrito de Salud del Sudeste, que está administrando vacunas a través de varios departamentos de salud del condado en el sureste de Georgia. Puede verificar su elegibilidad y hacer una cita llamando al 1-855-473-4374. Algunas farmacias (incluyendo farmacias en tiendas de comestibles como Ingles, Kroger y Publix) y centros de salud comunitarios también tienen suministros limitados de vacunas. Puede ir al sitio web del Departamento de Salud Pública de Georgia en</w:t>
      </w:r>
      <w:r>
        <w:rPr>
          <w:rFonts w:ascii="Arial" w:eastAsia="Arial" w:hAnsi="Arial" w:cs="Arial"/>
          <w:b/>
          <w:bCs/>
          <w:sz w:val="25"/>
          <w:szCs w:val="25"/>
        </w:rPr>
        <w:t xml:space="preserve"> https:/www.dph.ga.gov/locations/covid-vaccination-site</w:t>
      </w:r>
    </w:p>
    <w:p w14:paraId="2CE133DA" w14:textId="77777777" w:rsidR="00EC1840" w:rsidRDefault="00EC1840">
      <w:pPr>
        <w:spacing w:line="7" w:lineRule="exact"/>
        <w:rPr>
          <w:rFonts w:ascii="Arial" w:eastAsia="Arial" w:hAnsi="Arial" w:cs="Arial"/>
          <w:color w:val="1F4A7A"/>
          <w:sz w:val="45"/>
          <w:szCs w:val="45"/>
        </w:rPr>
      </w:pPr>
    </w:p>
    <w:p w14:paraId="568F0EF5" w14:textId="77777777" w:rsidR="00EC1840" w:rsidRDefault="002F504D">
      <w:pPr>
        <w:ind w:left="1500"/>
        <w:rPr>
          <w:rFonts w:ascii="Arial" w:eastAsia="Arial" w:hAnsi="Arial" w:cs="Arial"/>
          <w:color w:val="1F4A7A"/>
          <w:sz w:val="45"/>
          <w:szCs w:val="45"/>
        </w:rPr>
      </w:pPr>
      <w:r>
        <w:rPr>
          <w:rFonts w:ascii="Arial" w:eastAsia="Arial" w:hAnsi="Arial" w:cs="Arial"/>
          <w:sz w:val="25"/>
          <w:szCs w:val="25"/>
        </w:rPr>
        <w:t>para obtener información sobre los lugares de su condado que ofrecen vacunas.</w:t>
      </w:r>
    </w:p>
    <w:p w14:paraId="493DA1E6" w14:textId="77777777" w:rsidR="00EC1840" w:rsidRDefault="00EC1840">
      <w:pPr>
        <w:spacing w:line="312" w:lineRule="exact"/>
        <w:rPr>
          <w:rFonts w:ascii="Arial" w:eastAsia="Arial" w:hAnsi="Arial" w:cs="Arial"/>
          <w:color w:val="1F4A7A"/>
          <w:sz w:val="45"/>
          <w:szCs w:val="45"/>
        </w:rPr>
      </w:pPr>
    </w:p>
    <w:p w14:paraId="5C78C6AD" w14:textId="77777777" w:rsidR="00EC1840" w:rsidRDefault="002F504D">
      <w:pPr>
        <w:spacing w:line="253" w:lineRule="auto"/>
        <w:ind w:left="1500" w:right="1020"/>
        <w:jc w:val="both"/>
        <w:rPr>
          <w:rFonts w:ascii="Arial" w:eastAsia="Arial" w:hAnsi="Arial" w:cs="Arial"/>
          <w:color w:val="1F4A7A"/>
          <w:sz w:val="45"/>
          <w:szCs w:val="45"/>
        </w:rPr>
      </w:pPr>
      <w:r>
        <w:rPr>
          <w:rFonts w:ascii="Arial" w:eastAsia="Arial" w:hAnsi="Arial" w:cs="Arial"/>
          <w:sz w:val="25"/>
          <w:szCs w:val="25"/>
        </w:rPr>
        <w:t>Una vez que la vacuna esté ampliamente disponible, el plan es tener varios miles de sitios que ofrezcan vacunas COVID-19 en consultorios médicos, farmacias minoristas, hospitales, centros de salud comunitarios y departamentos de salud del condado.</w:t>
      </w:r>
    </w:p>
    <w:p w14:paraId="206AB7B0" w14:textId="77777777" w:rsidR="00EC1840" w:rsidRDefault="00EC1840">
      <w:pPr>
        <w:spacing w:line="379" w:lineRule="exact"/>
        <w:rPr>
          <w:sz w:val="24"/>
          <w:szCs w:val="24"/>
        </w:rPr>
      </w:pPr>
    </w:p>
    <w:p w14:paraId="39159070" w14:textId="77777777" w:rsidR="00EC1840" w:rsidRDefault="002F504D">
      <w:pPr>
        <w:ind w:left="1540"/>
        <w:rPr>
          <w:sz w:val="20"/>
          <w:szCs w:val="20"/>
        </w:rPr>
      </w:pPr>
      <w:r>
        <w:rPr>
          <w:rFonts w:ascii="Arial" w:eastAsia="Arial" w:hAnsi="Arial" w:cs="Arial"/>
          <w:b/>
          <w:bCs/>
          <w:color w:val="1F4A7A"/>
          <w:sz w:val="39"/>
          <w:szCs w:val="39"/>
        </w:rPr>
        <w:t>EFICACIA</w:t>
      </w:r>
    </w:p>
    <w:p w14:paraId="0B52E6B1" w14:textId="77777777" w:rsidR="00EC1840" w:rsidRDefault="00EC1840">
      <w:pPr>
        <w:spacing w:line="211" w:lineRule="exact"/>
        <w:rPr>
          <w:sz w:val="24"/>
          <w:szCs w:val="24"/>
        </w:rPr>
      </w:pPr>
    </w:p>
    <w:p w14:paraId="0668CB27" w14:textId="77777777" w:rsidR="00EC1840" w:rsidRDefault="002F504D">
      <w:pPr>
        <w:numPr>
          <w:ilvl w:val="0"/>
          <w:numId w:val="3"/>
        </w:numPr>
        <w:tabs>
          <w:tab w:val="left" w:pos="1520"/>
        </w:tabs>
        <w:spacing w:line="220" w:lineRule="auto"/>
        <w:ind w:left="1520" w:right="920" w:hanging="1039"/>
        <w:jc w:val="both"/>
        <w:rPr>
          <w:rFonts w:ascii="Arial" w:eastAsia="Arial" w:hAnsi="Arial" w:cs="Arial"/>
          <w:color w:val="1F4A7A"/>
          <w:sz w:val="45"/>
          <w:szCs w:val="45"/>
        </w:rPr>
      </w:pPr>
      <w:r>
        <w:rPr>
          <w:rFonts w:ascii="Arial" w:eastAsia="Arial" w:hAnsi="Arial" w:cs="Arial"/>
          <w:sz w:val="25"/>
          <w:szCs w:val="25"/>
        </w:rPr>
        <w:t xml:space="preserve">Hay dos vacunas, Pfizer y Moderna. Con cualquiera de las vacunas, usted debe recibir dos vacunas. La vacuna Pfizer ha demostrado ser 95% efectiva 7 días después de la segunda dosis y 94% efectiva en adultos </w:t>
      </w:r>
      <w:r>
        <w:rPr>
          <w:rFonts w:ascii="Arial" w:eastAsia="Arial" w:hAnsi="Arial" w:cs="Arial"/>
          <w:sz w:val="25"/>
          <w:szCs w:val="25"/>
        </w:rPr>
        <w:lastRenderedPageBreak/>
        <w:t>mayores de 65 años. La vacuna Moderna ha demostrado ser eficaz al 94% después de la segunda dosis. Estos resultados fueron los mismos para hombres y mujeres y por edad, raza y etnia.</w:t>
      </w:r>
    </w:p>
    <w:p w14:paraId="7D464924" w14:textId="77777777" w:rsidR="00EC1840" w:rsidRDefault="00EC1840">
      <w:pPr>
        <w:spacing w:line="322" w:lineRule="exact"/>
        <w:rPr>
          <w:sz w:val="24"/>
          <w:szCs w:val="24"/>
        </w:rPr>
      </w:pPr>
    </w:p>
    <w:p w14:paraId="0C70F034" w14:textId="11A8AD08" w:rsidR="00EC1840" w:rsidRDefault="002F504D">
      <w:pPr>
        <w:ind w:left="1540"/>
        <w:rPr>
          <w:sz w:val="20"/>
          <w:szCs w:val="20"/>
        </w:rPr>
      </w:pPr>
      <w:r>
        <w:rPr>
          <w:rFonts w:ascii="Arial" w:eastAsia="Arial" w:hAnsi="Arial" w:cs="Arial"/>
          <w:b/>
          <w:bCs/>
          <w:color w:val="1F4A7A"/>
          <w:sz w:val="39"/>
          <w:szCs w:val="39"/>
        </w:rPr>
        <w:t>¿Es segura la vacuna?</w:t>
      </w:r>
    </w:p>
    <w:p w14:paraId="63BBB3C2" w14:textId="77777777" w:rsidR="00EC1840" w:rsidRDefault="00EC1840">
      <w:pPr>
        <w:spacing w:line="331" w:lineRule="exact"/>
        <w:rPr>
          <w:sz w:val="24"/>
          <w:szCs w:val="24"/>
        </w:rPr>
      </w:pPr>
    </w:p>
    <w:p w14:paraId="32EC1483" w14:textId="77777777" w:rsidR="00EC1840" w:rsidRDefault="002F504D">
      <w:pPr>
        <w:numPr>
          <w:ilvl w:val="0"/>
          <w:numId w:val="4"/>
        </w:numPr>
        <w:tabs>
          <w:tab w:val="left" w:pos="1480"/>
        </w:tabs>
        <w:spacing w:line="208" w:lineRule="auto"/>
        <w:ind w:left="1480" w:right="760" w:hanging="941"/>
        <w:jc w:val="both"/>
        <w:rPr>
          <w:rFonts w:ascii="Arial" w:eastAsia="Arial" w:hAnsi="Arial" w:cs="Arial"/>
          <w:color w:val="1F4A7A"/>
          <w:sz w:val="45"/>
          <w:szCs w:val="45"/>
        </w:rPr>
      </w:pPr>
      <w:r>
        <w:rPr>
          <w:rFonts w:ascii="Arial" w:eastAsia="Arial" w:hAnsi="Arial" w:cs="Arial"/>
          <w:sz w:val="25"/>
          <w:szCs w:val="25"/>
        </w:rPr>
        <w:t>Antes de que la FDA apruebe una vacuna, hay rigurosas investigaciones y pruebas para garantizar la seguridad y eficacia de la vacuna. La FDA revisa y verifica la información de estas pruebas. Luego se decide si la vacuna puede ser autorizada y entregada al público.</w:t>
      </w:r>
    </w:p>
    <w:p w14:paraId="25DBA2CF" w14:textId="77777777" w:rsidR="00EC1840" w:rsidRDefault="00EC1840">
      <w:pPr>
        <w:spacing w:line="4" w:lineRule="exact"/>
        <w:rPr>
          <w:rFonts w:ascii="Arial" w:eastAsia="Arial" w:hAnsi="Arial" w:cs="Arial"/>
          <w:color w:val="1F4A7A"/>
          <w:sz w:val="45"/>
          <w:szCs w:val="45"/>
        </w:rPr>
      </w:pPr>
    </w:p>
    <w:p w14:paraId="7601A208" w14:textId="77777777" w:rsidR="00EC1840" w:rsidRDefault="002F504D">
      <w:pPr>
        <w:ind w:left="1920" w:right="740" w:hanging="260"/>
        <w:rPr>
          <w:rFonts w:ascii="Arial" w:eastAsia="Arial" w:hAnsi="Arial" w:cs="Arial"/>
          <w:color w:val="1F4A7A"/>
          <w:sz w:val="45"/>
          <w:szCs w:val="45"/>
        </w:rPr>
      </w:pPr>
      <w:r>
        <w:rPr>
          <w:rFonts w:ascii="Arial" w:eastAsia="Arial" w:hAnsi="Arial" w:cs="Arial"/>
          <w:noProof/>
          <w:color w:val="1F4A7A"/>
          <w:sz w:val="1"/>
          <w:szCs w:val="1"/>
        </w:rPr>
        <w:drawing>
          <wp:inline distT="0" distB="0" distL="0" distR="0" wp14:anchorId="5DCD70BD" wp14:editId="2D6AFC1F">
            <wp:extent cx="47625" cy="47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7625" cy="47625"/>
                    </a:xfrm>
                    <a:prstGeom prst="rect">
                      <a:avLst/>
                    </a:prstGeom>
                    <a:noFill/>
                    <a:ln>
                      <a:noFill/>
                    </a:ln>
                  </pic:spPr>
                </pic:pic>
              </a:graphicData>
            </a:graphic>
          </wp:inline>
        </w:drawing>
      </w:r>
      <w:r>
        <w:rPr>
          <w:rFonts w:ascii="Arial" w:eastAsia="Arial" w:hAnsi="Arial" w:cs="Arial"/>
          <w:sz w:val="25"/>
          <w:szCs w:val="25"/>
        </w:rPr>
        <w:t xml:space="preserve"> En la revisión de las vacunas Pfizer y Moderna COVID-19 de la FDA no se descubrieron problemas de seguridad importantes.</w:t>
      </w:r>
    </w:p>
    <w:p w14:paraId="37B20E02" w14:textId="77777777" w:rsidR="00EC1840" w:rsidRDefault="00EC1840">
      <w:pPr>
        <w:spacing w:line="211" w:lineRule="exact"/>
        <w:rPr>
          <w:sz w:val="24"/>
          <w:szCs w:val="24"/>
        </w:rPr>
      </w:pPr>
    </w:p>
    <w:tbl>
      <w:tblPr>
        <w:tblW w:w="0" w:type="auto"/>
        <w:tblInd w:w="480" w:type="dxa"/>
        <w:tblLayout w:type="fixed"/>
        <w:tblCellMar>
          <w:left w:w="0" w:type="dxa"/>
          <w:right w:w="0" w:type="dxa"/>
        </w:tblCellMar>
        <w:tblLook w:val="04A0" w:firstRow="1" w:lastRow="0" w:firstColumn="1" w:lastColumn="0" w:noHBand="0" w:noVBand="1"/>
      </w:tblPr>
      <w:tblGrid>
        <w:gridCol w:w="580"/>
        <w:gridCol w:w="8900"/>
      </w:tblGrid>
      <w:tr w:rsidR="00EC1840" w14:paraId="3AD38979" w14:textId="77777777">
        <w:trPr>
          <w:trHeight w:val="517"/>
        </w:trPr>
        <w:tc>
          <w:tcPr>
            <w:tcW w:w="580" w:type="dxa"/>
            <w:vAlign w:val="bottom"/>
          </w:tcPr>
          <w:p w14:paraId="44D03B5E" w14:textId="77777777" w:rsidR="00EC1840" w:rsidRDefault="00EC1840">
            <w:pPr>
              <w:rPr>
                <w:sz w:val="24"/>
                <w:szCs w:val="24"/>
              </w:rPr>
            </w:pPr>
          </w:p>
        </w:tc>
        <w:tc>
          <w:tcPr>
            <w:tcW w:w="8900" w:type="dxa"/>
            <w:vAlign w:val="bottom"/>
          </w:tcPr>
          <w:p w14:paraId="03825A6C" w14:textId="77777777" w:rsidR="00EC1840" w:rsidRDefault="002F504D">
            <w:pPr>
              <w:ind w:left="420"/>
              <w:rPr>
                <w:sz w:val="20"/>
                <w:szCs w:val="20"/>
              </w:rPr>
            </w:pPr>
            <w:r>
              <w:rPr>
                <w:rFonts w:ascii="Arial" w:eastAsia="Arial" w:hAnsi="Arial" w:cs="Arial"/>
                <w:b/>
                <w:bCs/>
                <w:color w:val="1F4A7A"/>
                <w:sz w:val="39"/>
                <w:szCs w:val="39"/>
              </w:rPr>
              <w:t>¿PUEDO OBTENER COVID-19 DE LA</w:t>
            </w:r>
          </w:p>
        </w:tc>
      </w:tr>
      <w:tr w:rsidR="00EC1840" w14:paraId="73C854BD" w14:textId="77777777">
        <w:trPr>
          <w:trHeight w:val="619"/>
        </w:trPr>
        <w:tc>
          <w:tcPr>
            <w:tcW w:w="580" w:type="dxa"/>
            <w:vAlign w:val="bottom"/>
          </w:tcPr>
          <w:p w14:paraId="604DAF30" w14:textId="77777777" w:rsidR="00EC1840" w:rsidRDefault="002F504D">
            <w:pPr>
              <w:ind w:right="246"/>
              <w:jc w:val="right"/>
              <w:rPr>
                <w:sz w:val="20"/>
                <w:szCs w:val="20"/>
              </w:rPr>
            </w:pPr>
            <w:r>
              <w:rPr>
                <w:rFonts w:ascii="Arial" w:eastAsia="Arial" w:hAnsi="Arial" w:cs="Arial"/>
                <w:color w:val="1F4A7A"/>
                <w:w w:val="71"/>
                <w:sz w:val="35"/>
                <w:szCs w:val="35"/>
              </w:rPr>
              <w:t>6</w:t>
            </w:r>
          </w:p>
        </w:tc>
        <w:tc>
          <w:tcPr>
            <w:tcW w:w="8900" w:type="dxa"/>
            <w:vAlign w:val="bottom"/>
          </w:tcPr>
          <w:p w14:paraId="1F46A22D" w14:textId="77777777" w:rsidR="00EC1840" w:rsidRDefault="002F504D">
            <w:pPr>
              <w:ind w:left="420"/>
              <w:rPr>
                <w:sz w:val="20"/>
                <w:szCs w:val="20"/>
              </w:rPr>
            </w:pPr>
            <w:proofErr w:type="gramStart"/>
            <w:r>
              <w:rPr>
                <w:rFonts w:ascii="Arial" w:eastAsia="Arial" w:hAnsi="Arial" w:cs="Arial"/>
                <w:b/>
                <w:bCs/>
                <w:color w:val="1F4A7A"/>
                <w:sz w:val="39"/>
                <w:szCs w:val="39"/>
              </w:rPr>
              <w:t>VACUNA?</w:t>
            </w:r>
            <w:proofErr w:type="gramEnd"/>
          </w:p>
        </w:tc>
      </w:tr>
      <w:tr w:rsidR="00EC1840" w14:paraId="7FB8B6B8" w14:textId="77777777">
        <w:trPr>
          <w:trHeight w:val="299"/>
        </w:trPr>
        <w:tc>
          <w:tcPr>
            <w:tcW w:w="580" w:type="dxa"/>
            <w:vAlign w:val="bottom"/>
          </w:tcPr>
          <w:p w14:paraId="6767BFEF" w14:textId="77777777" w:rsidR="00EC1840" w:rsidRDefault="00EC1840">
            <w:pPr>
              <w:rPr>
                <w:sz w:val="24"/>
                <w:szCs w:val="24"/>
              </w:rPr>
            </w:pPr>
          </w:p>
        </w:tc>
        <w:tc>
          <w:tcPr>
            <w:tcW w:w="8900" w:type="dxa"/>
            <w:vAlign w:val="bottom"/>
          </w:tcPr>
          <w:p w14:paraId="123B159C" w14:textId="77777777" w:rsidR="00EC1840" w:rsidRDefault="002F504D">
            <w:pPr>
              <w:ind w:left="440"/>
              <w:rPr>
                <w:sz w:val="20"/>
                <w:szCs w:val="20"/>
              </w:rPr>
            </w:pPr>
            <w:r>
              <w:rPr>
                <w:rFonts w:ascii="Arial" w:eastAsia="Arial" w:hAnsi="Arial" w:cs="Arial"/>
                <w:sz w:val="25"/>
                <w:szCs w:val="25"/>
              </w:rPr>
              <w:t>No. La vacuna COVID-19 no contiene el virus vivo que causa</w:t>
            </w:r>
          </w:p>
        </w:tc>
      </w:tr>
    </w:tbl>
    <w:p w14:paraId="6C46A1C2" w14:textId="77777777" w:rsidR="00EC1840" w:rsidRDefault="00EC1840">
      <w:pPr>
        <w:spacing w:line="1" w:lineRule="exact"/>
        <w:rPr>
          <w:sz w:val="24"/>
          <w:szCs w:val="24"/>
        </w:rPr>
      </w:pPr>
    </w:p>
    <w:p w14:paraId="6CB8857C" w14:textId="77777777" w:rsidR="00EC1840" w:rsidRDefault="002F504D">
      <w:pPr>
        <w:ind w:left="1500"/>
        <w:rPr>
          <w:sz w:val="20"/>
          <w:szCs w:val="20"/>
        </w:rPr>
      </w:pPr>
      <w:r>
        <w:rPr>
          <w:rFonts w:ascii="Arial" w:eastAsia="Arial" w:hAnsi="Arial" w:cs="Arial"/>
          <w:sz w:val="25"/>
          <w:szCs w:val="25"/>
        </w:rPr>
        <w:t>COVID-19 y no puede causar COVID-19.</w:t>
      </w:r>
    </w:p>
    <w:p w14:paraId="7DE5E98B" w14:textId="77777777" w:rsidR="00EC1840" w:rsidRDefault="00EC1840">
      <w:pPr>
        <w:spacing w:line="328" w:lineRule="exact"/>
        <w:rPr>
          <w:sz w:val="24"/>
          <w:szCs w:val="24"/>
        </w:rPr>
      </w:pPr>
    </w:p>
    <w:p w14:paraId="783D714E" w14:textId="77777777" w:rsidR="00EC1840" w:rsidRDefault="002F504D">
      <w:pPr>
        <w:ind w:left="1420"/>
        <w:rPr>
          <w:sz w:val="20"/>
          <w:szCs w:val="20"/>
        </w:rPr>
      </w:pPr>
      <w:r>
        <w:rPr>
          <w:rFonts w:ascii="Arial" w:eastAsia="Arial" w:hAnsi="Arial" w:cs="Arial"/>
          <w:b/>
          <w:bCs/>
          <w:color w:val="1F4A7A"/>
          <w:sz w:val="39"/>
          <w:szCs w:val="39"/>
        </w:rPr>
        <w:t>¿Hay algún efecto secundario?</w:t>
      </w:r>
    </w:p>
    <w:p w14:paraId="6830A842" w14:textId="40B998CA" w:rsidR="00EC1840" w:rsidRDefault="00EC1840">
      <w:pPr>
        <w:spacing w:line="267" w:lineRule="exact"/>
        <w:rPr>
          <w:sz w:val="24"/>
          <w:szCs w:val="24"/>
        </w:rPr>
      </w:pPr>
    </w:p>
    <w:p w14:paraId="2DB3CD9C" w14:textId="3BCD621D" w:rsidR="00EC1840" w:rsidRDefault="002F504D">
      <w:pPr>
        <w:numPr>
          <w:ilvl w:val="0"/>
          <w:numId w:val="5"/>
        </w:numPr>
        <w:tabs>
          <w:tab w:val="left" w:pos="1420"/>
        </w:tabs>
        <w:spacing w:line="224" w:lineRule="auto"/>
        <w:ind w:left="1420" w:right="1040" w:hanging="930"/>
        <w:jc w:val="both"/>
        <w:rPr>
          <w:rFonts w:ascii="Arial" w:eastAsia="Arial" w:hAnsi="Arial" w:cs="Arial"/>
          <w:color w:val="1F4A7A"/>
          <w:sz w:val="45"/>
          <w:szCs w:val="45"/>
        </w:rPr>
      </w:pPr>
      <w:r>
        <w:rPr>
          <w:rFonts w:ascii="Arial" w:eastAsia="Arial" w:hAnsi="Arial" w:cs="Arial"/>
          <w:sz w:val="25"/>
          <w:szCs w:val="25"/>
        </w:rPr>
        <w:t>Los efectos secundarios conocidos más comunes de la vacuna COVID-19 son dolor en el sitio de la inyección a corto plazo y síntomas similares a la gripe. Estos efectos son temporales y están en línea con los efectos secundarios que algunas personas experimentan con algunas otras vacunas, como la vacuna contra la gripe y la vacuna para prevenir el herpes zóster. Algunas personas tienen efectos secundarios más graves, pero estos son muy raros. Si está preocupado, pídale más información a su médico, clínica o al departamento de salud.</w:t>
      </w:r>
    </w:p>
    <w:p w14:paraId="65E3A725" w14:textId="77777777" w:rsidR="00EC1840" w:rsidRDefault="002F504D">
      <w:pPr>
        <w:spacing w:line="20" w:lineRule="exact"/>
        <w:rPr>
          <w:sz w:val="24"/>
          <w:szCs w:val="24"/>
        </w:rPr>
      </w:pPr>
      <w:r>
        <w:rPr>
          <w:noProof/>
          <w:sz w:val="24"/>
          <w:szCs w:val="24"/>
        </w:rPr>
        <w:drawing>
          <wp:anchor distT="0" distB="0" distL="114300" distR="114300" simplePos="0" relativeHeight="251658240" behindDoc="1" locked="0" layoutInCell="0" allowOverlap="1" wp14:anchorId="7C56F598" wp14:editId="2F18BB3C">
            <wp:simplePos x="0" y="0"/>
            <wp:positionH relativeFrom="column">
              <wp:posOffset>1035685</wp:posOffset>
            </wp:positionH>
            <wp:positionV relativeFrom="paragraph">
              <wp:posOffset>215265</wp:posOffset>
            </wp:positionV>
            <wp:extent cx="6134100" cy="186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134100" cy="1860550"/>
                    </a:xfrm>
                    <a:prstGeom prst="rect">
                      <a:avLst/>
                    </a:prstGeom>
                    <a:noFill/>
                  </pic:spPr>
                </pic:pic>
              </a:graphicData>
            </a:graphic>
          </wp:anchor>
        </w:drawing>
      </w:r>
    </w:p>
    <w:p w14:paraId="69902F99" w14:textId="77777777" w:rsidR="00EC1840" w:rsidRDefault="00EC1840">
      <w:pPr>
        <w:sectPr w:rsidR="00EC1840" w:rsidSect="002F504D">
          <w:pgSz w:w="12240" w:h="20160" w:code="5"/>
          <w:pgMar w:top="438" w:right="940" w:bottom="0" w:left="340" w:header="0" w:footer="0" w:gutter="0"/>
          <w:cols w:space="720" w:equalWidth="0">
            <w:col w:w="10720"/>
          </w:cols>
          <w:docGrid w:linePitch="299"/>
        </w:sectPr>
      </w:pPr>
    </w:p>
    <w:p w14:paraId="5B7EF5C5" w14:textId="77777777" w:rsidR="00EC1840" w:rsidRDefault="00EC1840">
      <w:pPr>
        <w:spacing w:line="200" w:lineRule="exact"/>
        <w:rPr>
          <w:sz w:val="24"/>
          <w:szCs w:val="24"/>
        </w:rPr>
      </w:pPr>
    </w:p>
    <w:p w14:paraId="30A763B4" w14:textId="77777777" w:rsidR="00EC1840" w:rsidRDefault="00EC1840">
      <w:pPr>
        <w:spacing w:line="200" w:lineRule="exact"/>
        <w:rPr>
          <w:sz w:val="24"/>
          <w:szCs w:val="24"/>
        </w:rPr>
      </w:pPr>
    </w:p>
    <w:p w14:paraId="20A8C1C4" w14:textId="77777777" w:rsidR="00EC1840" w:rsidRDefault="00EC1840">
      <w:pPr>
        <w:spacing w:line="200" w:lineRule="exact"/>
        <w:rPr>
          <w:sz w:val="24"/>
          <w:szCs w:val="24"/>
        </w:rPr>
      </w:pPr>
    </w:p>
    <w:p w14:paraId="051E39B9" w14:textId="77777777" w:rsidR="00EC1840" w:rsidRDefault="00EC1840">
      <w:pPr>
        <w:spacing w:line="200" w:lineRule="exact"/>
        <w:rPr>
          <w:sz w:val="24"/>
          <w:szCs w:val="24"/>
        </w:rPr>
      </w:pPr>
    </w:p>
    <w:p w14:paraId="7399268D" w14:textId="77777777" w:rsidR="00EC1840" w:rsidRDefault="00EC1840">
      <w:pPr>
        <w:spacing w:line="200" w:lineRule="exact"/>
        <w:rPr>
          <w:sz w:val="24"/>
          <w:szCs w:val="24"/>
        </w:rPr>
      </w:pPr>
    </w:p>
    <w:p w14:paraId="5568DFD7" w14:textId="77777777" w:rsidR="00EC1840" w:rsidRDefault="00EC1840">
      <w:pPr>
        <w:spacing w:line="200" w:lineRule="exact"/>
        <w:rPr>
          <w:sz w:val="24"/>
          <w:szCs w:val="24"/>
        </w:rPr>
      </w:pPr>
    </w:p>
    <w:p w14:paraId="3360153F" w14:textId="77777777" w:rsidR="00EC1840" w:rsidRDefault="00EC1840">
      <w:pPr>
        <w:spacing w:line="200" w:lineRule="exact"/>
        <w:rPr>
          <w:sz w:val="24"/>
          <w:szCs w:val="24"/>
        </w:rPr>
      </w:pPr>
    </w:p>
    <w:p w14:paraId="081BD913" w14:textId="77777777" w:rsidR="00EC1840" w:rsidRDefault="00EC1840">
      <w:pPr>
        <w:spacing w:line="200" w:lineRule="exact"/>
        <w:rPr>
          <w:sz w:val="24"/>
          <w:szCs w:val="24"/>
        </w:rPr>
      </w:pPr>
    </w:p>
    <w:p w14:paraId="2F635072" w14:textId="77777777" w:rsidR="00EC1840" w:rsidRDefault="00EC1840">
      <w:pPr>
        <w:spacing w:line="200" w:lineRule="exact"/>
        <w:rPr>
          <w:sz w:val="24"/>
          <w:szCs w:val="24"/>
        </w:rPr>
      </w:pPr>
    </w:p>
    <w:p w14:paraId="1011F524" w14:textId="77777777" w:rsidR="00EC1840" w:rsidRDefault="00EC1840">
      <w:pPr>
        <w:spacing w:line="200" w:lineRule="exact"/>
        <w:rPr>
          <w:sz w:val="24"/>
          <w:szCs w:val="24"/>
        </w:rPr>
      </w:pPr>
    </w:p>
    <w:p w14:paraId="1BF623BF" w14:textId="77777777" w:rsidR="00EC1840" w:rsidRDefault="00EC1840">
      <w:pPr>
        <w:spacing w:line="200" w:lineRule="exact"/>
        <w:rPr>
          <w:sz w:val="24"/>
          <w:szCs w:val="24"/>
        </w:rPr>
      </w:pPr>
    </w:p>
    <w:p w14:paraId="4CC61CAB" w14:textId="77777777" w:rsidR="00EC1840" w:rsidRDefault="00EC1840">
      <w:pPr>
        <w:spacing w:line="316" w:lineRule="exact"/>
        <w:rPr>
          <w:sz w:val="24"/>
          <w:szCs w:val="24"/>
        </w:rPr>
      </w:pPr>
    </w:p>
    <w:p w14:paraId="6746B47E" w14:textId="77777777" w:rsidR="00EC1840" w:rsidRDefault="002F504D">
      <w:pPr>
        <w:spacing w:line="278" w:lineRule="auto"/>
        <w:ind w:right="2300"/>
        <w:rPr>
          <w:sz w:val="20"/>
          <w:szCs w:val="20"/>
        </w:rPr>
      </w:pPr>
      <w:r>
        <w:rPr>
          <w:rFonts w:ascii="Arial" w:eastAsia="Arial" w:hAnsi="Arial" w:cs="Arial"/>
          <w:b/>
          <w:bCs/>
          <w:color w:val="080608"/>
          <w:sz w:val="25"/>
          <w:szCs w:val="25"/>
        </w:rPr>
        <w:t xml:space="preserve">Para más información sobre la vacunación COVID-19, </w:t>
      </w:r>
      <w:proofErr w:type="gramStart"/>
      <w:r>
        <w:rPr>
          <w:rFonts w:ascii="Arial" w:eastAsia="Arial" w:hAnsi="Arial" w:cs="Arial"/>
          <w:b/>
          <w:bCs/>
          <w:color w:val="080608"/>
          <w:sz w:val="25"/>
          <w:szCs w:val="25"/>
        </w:rPr>
        <w:t>visite :</w:t>
      </w:r>
      <w:proofErr w:type="gramEnd"/>
      <w:r>
        <w:rPr>
          <w:rFonts w:ascii="Arial" w:eastAsia="Arial" w:hAnsi="Arial" w:cs="Arial"/>
          <w:b/>
          <w:bCs/>
          <w:color w:val="080608"/>
          <w:sz w:val="25"/>
          <w:szCs w:val="25"/>
        </w:rPr>
        <w:t xml:space="preserve"> https://www.sehdph.org/ OR https://dph.georgia.gov/</w:t>
      </w:r>
    </w:p>
    <w:sectPr w:rsidR="00EC1840" w:rsidSect="002F504D">
      <w:pgSz w:w="12000" w:h="30000"/>
      <w:pgMar w:top="438" w:right="940" w:bottom="0" w:left="340" w:header="0" w:footer="0" w:gutter="0"/>
      <w:cols w:space="720" w:equalWidth="0">
        <w:col w:w="10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EB"/>
    <w:multiLevelType w:val="hybridMultilevel"/>
    <w:tmpl w:val="21FE53F0"/>
    <w:lvl w:ilvl="0" w:tplc="975C1D30">
      <w:start w:val="1"/>
      <w:numFmt w:val="bullet"/>
      <w:lvlText w:val="4"/>
      <w:lvlJc w:val="left"/>
    </w:lvl>
    <w:lvl w:ilvl="1" w:tplc="128E323C">
      <w:numFmt w:val="decimal"/>
      <w:lvlText w:val=""/>
      <w:lvlJc w:val="left"/>
    </w:lvl>
    <w:lvl w:ilvl="2" w:tplc="7E46EBC2">
      <w:numFmt w:val="decimal"/>
      <w:lvlText w:val=""/>
      <w:lvlJc w:val="left"/>
    </w:lvl>
    <w:lvl w:ilvl="3" w:tplc="F5B82632">
      <w:numFmt w:val="decimal"/>
      <w:lvlText w:val=""/>
      <w:lvlJc w:val="left"/>
    </w:lvl>
    <w:lvl w:ilvl="4" w:tplc="9FA04B72">
      <w:numFmt w:val="decimal"/>
      <w:lvlText w:val=""/>
      <w:lvlJc w:val="left"/>
    </w:lvl>
    <w:lvl w:ilvl="5" w:tplc="B79C8778">
      <w:numFmt w:val="decimal"/>
      <w:lvlText w:val=""/>
      <w:lvlJc w:val="left"/>
    </w:lvl>
    <w:lvl w:ilvl="6" w:tplc="B150F2D8">
      <w:numFmt w:val="decimal"/>
      <w:lvlText w:val=""/>
      <w:lvlJc w:val="left"/>
    </w:lvl>
    <w:lvl w:ilvl="7" w:tplc="0C906C1A">
      <w:numFmt w:val="decimal"/>
      <w:lvlText w:val=""/>
      <w:lvlJc w:val="left"/>
    </w:lvl>
    <w:lvl w:ilvl="8" w:tplc="8416AE4C">
      <w:numFmt w:val="decimal"/>
      <w:lvlText w:val=""/>
      <w:lvlJc w:val="left"/>
    </w:lvl>
  </w:abstractNum>
  <w:abstractNum w:abstractNumId="1" w15:restartNumberingAfterBreak="0">
    <w:nsid w:val="00000BB3"/>
    <w:multiLevelType w:val="hybridMultilevel"/>
    <w:tmpl w:val="221E449A"/>
    <w:lvl w:ilvl="0" w:tplc="497EB8A0">
      <w:start w:val="1"/>
      <w:numFmt w:val="bullet"/>
      <w:lvlText w:val="5"/>
      <w:lvlJc w:val="left"/>
    </w:lvl>
    <w:lvl w:ilvl="1" w:tplc="628052BC">
      <w:numFmt w:val="decimal"/>
      <w:lvlText w:val=""/>
      <w:lvlJc w:val="left"/>
    </w:lvl>
    <w:lvl w:ilvl="2" w:tplc="6394B164">
      <w:numFmt w:val="decimal"/>
      <w:lvlText w:val=""/>
      <w:lvlJc w:val="left"/>
    </w:lvl>
    <w:lvl w:ilvl="3" w:tplc="F9222194">
      <w:numFmt w:val="decimal"/>
      <w:lvlText w:val=""/>
      <w:lvlJc w:val="left"/>
    </w:lvl>
    <w:lvl w:ilvl="4" w:tplc="7910CC8A">
      <w:numFmt w:val="decimal"/>
      <w:lvlText w:val=""/>
      <w:lvlJc w:val="left"/>
    </w:lvl>
    <w:lvl w:ilvl="5" w:tplc="428440FA">
      <w:numFmt w:val="decimal"/>
      <w:lvlText w:val=""/>
      <w:lvlJc w:val="left"/>
    </w:lvl>
    <w:lvl w:ilvl="6" w:tplc="09EE6A38">
      <w:numFmt w:val="decimal"/>
      <w:lvlText w:val=""/>
      <w:lvlJc w:val="left"/>
    </w:lvl>
    <w:lvl w:ilvl="7" w:tplc="6526E9E0">
      <w:numFmt w:val="decimal"/>
      <w:lvlText w:val=""/>
      <w:lvlJc w:val="left"/>
    </w:lvl>
    <w:lvl w:ilvl="8" w:tplc="B3BCE976">
      <w:numFmt w:val="decimal"/>
      <w:lvlText w:val=""/>
      <w:lvlJc w:val="left"/>
    </w:lvl>
  </w:abstractNum>
  <w:abstractNum w:abstractNumId="2" w15:restartNumberingAfterBreak="0">
    <w:nsid w:val="000026E9"/>
    <w:multiLevelType w:val="hybridMultilevel"/>
    <w:tmpl w:val="040243DE"/>
    <w:lvl w:ilvl="0" w:tplc="127C5E1C">
      <w:start w:val="1"/>
      <w:numFmt w:val="bullet"/>
      <w:lvlText w:val="3"/>
      <w:lvlJc w:val="left"/>
    </w:lvl>
    <w:lvl w:ilvl="1" w:tplc="B6D81ACA">
      <w:numFmt w:val="decimal"/>
      <w:lvlText w:val=""/>
      <w:lvlJc w:val="left"/>
    </w:lvl>
    <w:lvl w:ilvl="2" w:tplc="213EBAB0">
      <w:numFmt w:val="decimal"/>
      <w:lvlText w:val=""/>
      <w:lvlJc w:val="left"/>
    </w:lvl>
    <w:lvl w:ilvl="3" w:tplc="63203482">
      <w:numFmt w:val="decimal"/>
      <w:lvlText w:val=""/>
      <w:lvlJc w:val="left"/>
    </w:lvl>
    <w:lvl w:ilvl="4" w:tplc="C0B4380E">
      <w:numFmt w:val="decimal"/>
      <w:lvlText w:val=""/>
      <w:lvlJc w:val="left"/>
    </w:lvl>
    <w:lvl w:ilvl="5" w:tplc="F43E8172">
      <w:numFmt w:val="decimal"/>
      <w:lvlText w:val=""/>
      <w:lvlJc w:val="left"/>
    </w:lvl>
    <w:lvl w:ilvl="6" w:tplc="51664D74">
      <w:numFmt w:val="decimal"/>
      <w:lvlText w:val=""/>
      <w:lvlJc w:val="left"/>
    </w:lvl>
    <w:lvl w:ilvl="7" w:tplc="F43E9504">
      <w:numFmt w:val="decimal"/>
      <w:lvlText w:val=""/>
      <w:lvlJc w:val="left"/>
    </w:lvl>
    <w:lvl w:ilvl="8" w:tplc="3EF25102">
      <w:numFmt w:val="decimal"/>
      <w:lvlText w:val=""/>
      <w:lvlJc w:val="left"/>
    </w:lvl>
  </w:abstractNum>
  <w:abstractNum w:abstractNumId="3" w15:restartNumberingAfterBreak="0">
    <w:nsid w:val="00002EA6"/>
    <w:multiLevelType w:val="hybridMultilevel"/>
    <w:tmpl w:val="D13C6D30"/>
    <w:lvl w:ilvl="0" w:tplc="265CED92">
      <w:start w:val="1"/>
      <w:numFmt w:val="bullet"/>
      <w:lvlText w:val="7"/>
      <w:lvlJc w:val="left"/>
    </w:lvl>
    <w:lvl w:ilvl="1" w:tplc="7AD47EF8">
      <w:numFmt w:val="decimal"/>
      <w:lvlText w:val=""/>
      <w:lvlJc w:val="left"/>
    </w:lvl>
    <w:lvl w:ilvl="2" w:tplc="8DD82A04">
      <w:numFmt w:val="decimal"/>
      <w:lvlText w:val=""/>
      <w:lvlJc w:val="left"/>
    </w:lvl>
    <w:lvl w:ilvl="3" w:tplc="54F0E2B8">
      <w:numFmt w:val="decimal"/>
      <w:lvlText w:val=""/>
      <w:lvlJc w:val="left"/>
    </w:lvl>
    <w:lvl w:ilvl="4" w:tplc="62C49806">
      <w:numFmt w:val="decimal"/>
      <w:lvlText w:val=""/>
      <w:lvlJc w:val="left"/>
    </w:lvl>
    <w:lvl w:ilvl="5" w:tplc="9746F736">
      <w:numFmt w:val="decimal"/>
      <w:lvlText w:val=""/>
      <w:lvlJc w:val="left"/>
    </w:lvl>
    <w:lvl w:ilvl="6" w:tplc="5360EBDC">
      <w:numFmt w:val="decimal"/>
      <w:lvlText w:val=""/>
      <w:lvlJc w:val="left"/>
    </w:lvl>
    <w:lvl w:ilvl="7" w:tplc="1DF80AB0">
      <w:numFmt w:val="decimal"/>
      <w:lvlText w:val=""/>
      <w:lvlJc w:val="left"/>
    </w:lvl>
    <w:lvl w:ilvl="8" w:tplc="3F3E9254">
      <w:numFmt w:val="decimal"/>
      <w:lvlText w:val=""/>
      <w:lvlJc w:val="left"/>
    </w:lvl>
  </w:abstractNum>
  <w:abstractNum w:abstractNumId="4" w15:restartNumberingAfterBreak="0">
    <w:nsid w:val="000041BB"/>
    <w:multiLevelType w:val="hybridMultilevel"/>
    <w:tmpl w:val="52BC5992"/>
    <w:lvl w:ilvl="0" w:tplc="8CA4D998">
      <w:start w:val="1"/>
      <w:numFmt w:val="bullet"/>
      <w:lvlText w:val="1"/>
      <w:lvlJc w:val="left"/>
    </w:lvl>
    <w:lvl w:ilvl="1" w:tplc="3FFAE8B0">
      <w:numFmt w:val="decimal"/>
      <w:lvlText w:val=""/>
      <w:lvlJc w:val="left"/>
    </w:lvl>
    <w:lvl w:ilvl="2" w:tplc="4B08C6DC">
      <w:numFmt w:val="decimal"/>
      <w:lvlText w:val=""/>
      <w:lvlJc w:val="left"/>
    </w:lvl>
    <w:lvl w:ilvl="3" w:tplc="76D42EA0">
      <w:numFmt w:val="decimal"/>
      <w:lvlText w:val=""/>
      <w:lvlJc w:val="left"/>
    </w:lvl>
    <w:lvl w:ilvl="4" w:tplc="12024EBE">
      <w:numFmt w:val="decimal"/>
      <w:lvlText w:val=""/>
      <w:lvlJc w:val="left"/>
    </w:lvl>
    <w:lvl w:ilvl="5" w:tplc="2D94E1B6">
      <w:numFmt w:val="decimal"/>
      <w:lvlText w:val=""/>
      <w:lvlJc w:val="left"/>
    </w:lvl>
    <w:lvl w:ilvl="6" w:tplc="95AC8FD2">
      <w:numFmt w:val="decimal"/>
      <w:lvlText w:val=""/>
      <w:lvlJc w:val="left"/>
    </w:lvl>
    <w:lvl w:ilvl="7" w:tplc="ED4AF7E2">
      <w:numFmt w:val="decimal"/>
      <w:lvlText w:val=""/>
      <w:lvlJc w:val="left"/>
    </w:lvl>
    <w:lvl w:ilvl="8" w:tplc="3B78C45E">
      <w:numFmt w:val="decimal"/>
      <w:lvlText w:val=""/>
      <w:lvlJc w:val="left"/>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840"/>
    <w:rsid w:val="002F504D"/>
    <w:rsid w:val="004B677D"/>
    <w:rsid w:val="00944482"/>
    <w:rsid w:val="00CD1D4B"/>
    <w:rsid w:val="00EC1840"/>
    <w:rsid w:val="00FF1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FB8C8"/>
  <w15:docId w15:val="{08F78DC3-D66C-49C3-971B-9ADB1696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s" w:eastAsia="es" w:bidi="e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Barbara</cp:lastModifiedBy>
  <cp:revision>2</cp:revision>
  <cp:lastPrinted>2021-02-04T18:05:00Z</cp:lastPrinted>
  <dcterms:created xsi:type="dcterms:W3CDTF">2021-02-04T19:24:00Z</dcterms:created>
  <dcterms:modified xsi:type="dcterms:W3CDTF">2021-02-04T19:24:00Z</dcterms:modified>
</cp:coreProperties>
</file>